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License</w:t>
      </w:r>
    </w:p>
    <w:p>
      <w:pPr>
        <w:jc w:val="both"/>
        <w:spacing w:before="100" w:after="100"/>
        <w:ind w:start="360"/>
        <w:ind w:firstLine="360"/>
      </w:pPr>
      <w:r>
        <w:rPr/>
      </w:r>
      <w:r>
        <w:rPr/>
      </w:r>
      <w:r>
        <w:t xml:space="preserve">The board shall issue a license upon payment of the fee as set under </w:t>
      </w:r>
      <w:r>
        <w:t>section 222</w:t>
      </w:r>
      <w:r>
        <w:t xml:space="preserve"> to any applicant who has satisfactorily met all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w:pPr>
        <w:jc w:val="both"/>
        <w:spacing w:before="100" w:after="100"/>
        <w:ind w:start="360"/>
        <w:ind w:firstLine="360"/>
      </w:pPr>
      <w:r>
        <w:rPr/>
      </w:r>
      <w:r>
        <w:rPr/>
      </w:r>
      <w:r>
        <w:t xml:space="preserve">Issuance of a license by the board is evidence that the person named therein is entitled to all the rights and privileges of a licensed architect, licensed landscape architect or certified interior designer while the license remains unexpired and unrevoked.</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w:pPr>
        <w:jc w:val="both"/>
        <w:spacing w:before="100" w:after="100"/>
        <w:ind w:start="360"/>
        <w:ind w:firstLine="360"/>
      </w:pPr>
      <w:r>
        <w:rPr/>
      </w:r>
      <w:r>
        <w:rPr/>
      </w:r>
      <w:r>
        <w:t xml:space="preserve">Licenses expire on the last day of June of each year or any other time the Commissioner of Professional and Financial Regulation may designate.   A license may be renewed up to 90 days after the date of its expiration upon payment of a late fee in addition to the renewal fee as set under </w:t>
      </w:r>
      <w:r>
        <w:t>section 222</w:t>
      </w:r>
      <w:r>
        <w:t xml:space="preserve">.  Any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received, together with the late fee, renewal fee and additional late fee as set under section 222,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§548 (AMD). PL 1983, c. 413, §11 (AMD). PL 1987, c. 395, §A120 (AMD). PL 1991, c. 396, §19 (AMD). PL 2007, c. 402, Pt. F,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§224.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