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Temporary license</w:t>
      </w:r>
    </w:p>
    <w:p>
      <w:pPr>
        <w:jc w:val="both"/>
        <w:spacing w:before="100" w:after="100"/>
        <w:ind w:start="360"/>
        <w:ind w:firstLine="360"/>
      </w:pPr>
      <w:r>
        <w:rPr/>
      </w:r>
      <w:r>
        <w:rPr/>
      </w:r>
      <w:r>
        <w:t xml:space="preserve">A temporary license may be granted to a person who has completed the education and level II fieldwork requirements of this chapter and who has also received NBCOT approval to sit for the appropriate certification examination.  This temporary license allows the holder to practice occupational therapy under the supervision of a licensed occupational therapist.  Temporary licensees shall take the first available national examination for which they become eligible.</w:t>
      </w:r>
      <w:r>
        <w:t xml:space="preserve">  </w:t>
      </w:r>
      <w:r xmlns:wp="http://schemas.openxmlformats.org/drawingml/2010/wordprocessingDrawing" xmlns:w15="http://schemas.microsoft.com/office/word/2012/wordml">
        <w:rPr>
          <w:rFonts w:ascii="Arial" w:hAnsi="Arial" w:cs="Arial"/>
          <w:sz w:val="22"/>
          <w:szCs w:val="22"/>
        </w:rPr>
        <w:t xml:space="preserve">[PL 1997, c. 294, §5 (RPR).]</w:t>
      </w:r>
    </w:p>
    <w:p>
      <w:pPr>
        <w:jc w:val="both"/>
        <w:spacing w:before="100" w:after="100"/>
        <w:ind w:start="360"/>
        <w:ind w:firstLine="360"/>
      </w:pPr>
      <w:r>
        <w:rPr/>
      </w:r>
      <w:r>
        <w:rPr/>
      </w:r>
      <w:r>
        <w:t xml:space="preserve">A temporary license may not be renewed more than once.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Foreign trained applicants must receive approval to sit for the examination from NBCOT in order to be eligible for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occupational therapy under the supervision of a licensed occupational therapist.  This license must be issued for a term of 6 months and may be renewed for an additional 6 months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§12 (AMD). PL 1997, c. 294, §5 (RPR). PL 2011, c. 286,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§2278.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§2278.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