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2289</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in compact.</w:t>
        <w:t xml:space="preserve"> </w:t>
      </w:r>
      <w:r>
        <w:t xml:space="preserve"> </w:t>
      </w:r>
      <w:r>
        <w:t xml:space="preserve">To participate in the compact, a member state shall:</w:t>
      </w:r>
    </w:p>
    <w:p>
      <w:pPr>
        <w:jc w:val="both"/>
        <w:spacing w:before="100" w:after="0"/>
        <w:ind w:start="720"/>
      </w:pPr>
      <w:r>
        <w:rPr/>
        <w:t>A</w:t>
        <w:t xml:space="preserve">.  </w:t>
      </w:r>
      <w:r>
        <w:rPr/>
      </w:r>
      <w:r>
        <w:t xml:space="preserve">License occupational therapists and occupational therapy assistants;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Participate fully in the commission's data system, including, but not limited to, using the commission's unique identifier as defined in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Implement or use procedures for considering the criminal history records of applicants for an initial compact privilege.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1080"/>
      </w:pPr>
      <w:r>
        <w:rPr/>
        <w:t>(</w:t>
        <w:t>1</w:t>
        <w:t xml:space="preserve">)  </w:t>
      </w:r>
      <w:r>
        <w:rPr/>
      </w:r>
      <w:r>
        <w:t xml:space="preserve">A member state shall within a time frame established by the commission require a criminal background check for a licensee applying for a compact privilege whose primary state of residence is that member state, by receiving the results of the Federal Bureau of Investigation criminal record search, and shall use the results in making licensure decisions.</w:t>
      </w:r>
    </w:p>
    <w:p>
      <w:pPr>
        <w:jc w:val="both"/>
        <w:spacing w:before="100" w:after="0"/>
        <w:ind w:start="1080"/>
      </w:pPr>
      <w:r>
        <w:rPr/>
        <w:t>(</w:t>
        <w:t>2</w:t>
        <w:t xml:space="preserve">)  </w:t>
      </w:r>
      <w:r>
        <w:rPr/>
      </w:r>
      <w:r>
        <w:t xml:space="preserve">Communication with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Departments of State, Justice, and Commerce, the Judiciary, and Related Agencies Appropriations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Use only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Have continuing education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Delegate to commission.</w:t>
        <w:t xml:space="preserve"> </w:t>
      </w:r>
      <w:r>
        <w:t xml:space="preserve"> </w:t>
      </w:r>
      <w:r>
        <w:t xml:space="preserve">A member state shall provide for the state's delegate to attend all occupational therapy compact commission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§2289. State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§2289. State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§2289. STATE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