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under this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or terminating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§2297.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