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§2571-A. BACKGROUND CHECK FOR EXPEDITED LICENSURE THROUGH THE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