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Penalty</w:t>
      </w:r>
    </w:p>
    <w:p>
      <w:pPr>
        <w:jc w:val="both"/>
        <w:spacing w:before="100" w:after="100"/>
        <w:ind w:start="360"/>
        <w:ind w:firstLine="360"/>
      </w:pPr>
      <w:r>
        <w:rPr/>
      </w:r>
      <w:r>
        <w:rPr/>
      </w:r>
      <w:r>
        <w:t xml:space="preserve">An individual who attempts to practice osteopathic medicine without proper license or who induces the belief that that individual is legally engaged in the practice of osteopathic medicine without having fully complied with all requirements of law commits a Class E crime; except that nothing in this chapter may be construed to prohibit a lawfully qualified osteopathic physician in another state meeting a licensed osteopathic physician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1993, c. 600, Pt. A,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797, §16 (AMD). PL 1993, c. 600, §A191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