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Appointment; vacancies; compensation</w:t>
      </w:r>
    </w:p>
    <w:p>
      <w:pPr>
        <w:jc w:val="both"/>
        <w:spacing w:before="100" w:after="100"/>
        <w:ind w:start="360"/>
        <w:ind w:firstLine="360"/>
      </w:pPr>
      <w:r>
        <w:rPr/>
      </w:r>
      <w:r>
        <w:rPr/>
      </w:r>
      <w:r>
        <w:t xml:space="preserve">The Board of Licensure in Medicine, as established by </w:t>
      </w:r>
      <w:r>
        <w:t>Title 5, section 12004‑A, subsection 24</w:t>
      </w:r>
      <w:r>
        <w:t xml:space="preserve">, and in this chapter called the "board," consists of 11 individuals who are residents of this State, appointed by the Governor.  Three individuals must be representatives of the public.  Six individuals must be graduates of a legally chartered medical college or university having authority to confer degrees in medicine and must have been actively engaged in the practice of their profession in this State for a continuous period of 5 years preceding their appointments to the board.  Two individuals must be physician assistants licensed under this chapter who have been actively engaged in the practice of the profession of physician assistant in this State for a continuous period of 5 years preceding appointment to the board.  A full-term appointment is for 6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627, Pt. B, §14 (AMD).]</w:t>
      </w:r>
    </w:p>
    <w:p>
      <w:pPr>
        <w:jc w:val="both"/>
        <w:spacing w:before="100" w:after="100"/>
        <w:ind w:start="360"/>
        <w:ind w:firstLine="360"/>
      </w:pPr>
      <w:r>
        <w:rPr/>
      </w:r>
      <w:r>
        <w:rPr/>
      </w:r>
      <w:r>
        <w:t xml:space="preserve">Members of said board shall be compensated according to the provisions of </w:t>
      </w:r>
      <w:r>
        <w:t>Title 5, chapter 379</w:t>
      </w:r>
      <w:r>
        <w:t xml:space="preserve">.  If the fees to be collected under any of the provisions of this chapter are insufficient to pay the salaries and expenses provided by this section, the members of said board shall be entitled to only a pro rata payment for salary in any years in which such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1983, c. 812, §228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575, §37 (AMD). PL 1975, c. 771, §§360,361 (AMD). PL 1977, c. 388, §1 (AMD). PL 1983, c. 176, §16 (AMD). PL 1983, c. 812, §228 (AMD). PL 1989, c. 462, §9 (AMD). PL 1989, c. 503, §B139 (AMD). PL 1989, c. 878, §A95 (AMD). PL 1993, c. 600, §A198 (AMD). PL 1997, c. 680, §C1 (AMD). PL 2007, c. 695, Pt. B, §11 (AMD). PL 2013, c. 101, §5 (AMD). PL 2019, c. 627,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§3263.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