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Oath</w:t>
      </w:r>
    </w:p>
    <w:p>
      <w:pPr>
        <w:jc w:val="both"/>
        <w:spacing w:before="100" w:after="100"/>
        <w:ind w:start="360"/>
        <w:ind w:firstLine="360"/>
      </w:pPr>
      <w:r>
        <w:rPr/>
      </w:r>
      <w:r>
        <w:rPr/>
      </w:r>
      <w:r>
        <w:t xml:space="preserve">Each member of the board shall, before entering upon the duties of the member's office, take the constitutional oath of office, and shall, in addition, make oath that the member is qualified under the terms of this chapter to hold the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§3264.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