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3274</w:t>
        <w:t xml:space="preserve">.  </w:t>
      </w:r>
      <w:r>
        <w:rPr>
          <w:b/>
        </w:rPr>
        <w:t xml:space="preserve">Licenses</w:t>
      </w:r>
    </w:p>
    <w:p>
      <w:pPr>
        <w:jc w:val="both"/>
        <w:spacing w:before="100" w:after="100"/>
        <w:ind w:start="360"/>
        <w:ind w:firstLine="360"/>
      </w:pPr>
      <w:r>
        <w:rPr/>
      </w:r>
      <w:r>
        <w:rPr/>
      </w:r>
      <w:r>
        <w:t xml:space="preserve">Each physician licensed under this chapter is entitled to receive a license under the seal of the board and signed by the chair and the secretary, which must be publicly displayed at the individual's principal place of practice, as long as this individual continues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1993, c. 600, Pt. A,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