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3552-A</w:t>
        <w:t xml:space="preserve">.  </w:t>
      </w:r>
      <w:r>
        <w:rPr>
          <w:b/>
        </w:rPr>
        <w:t xml:space="preserve">Podiatric assistants</w:t>
      </w:r>
    </w:p>
    <w:p>
      <w:pPr>
        <w:jc w:val="both"/>
        <w:spacing w:before="100" w:after="0"/>
        <w:ind w:start="360"/>
        <w:ind w:firstLine="360"/>
      </w:pPr>
      <w:r>
        <w:rPr>
          <w:b/>
        </w:rPr>
        <w:t>1</w:t>
        <w:t xml:space="preserve">.  </w:t>
      </w:r>
      <w:r>
        <w:rPr>
          <w:b/>
        </w:rPr>
        <w:t xml:space="preserve">Podiatric assistants permitted.</w:t>
        <w:t xml:space="preserve"> </w:t>
      </w:r>
      <w:r>
        <w:t xml:space="preserve"> </w:t>
      </w:r>
      <w:r>
        <w:t xml:space="preserve">This chapter may not be construed to prohibit a podiatrist from delegating to a podiatric assistant certain activities relating to medical care and treatment that are delegated by custom and usage, as long as those activities are under the supervision or control of the podiatrist, who must be present on the premises at the time the activities are performed.  This section may not be construed to require the presence of the supervising and controlling podiatrist during the rendering of nondiagnostic or nontherapeutic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§9 (AMD).]</w:t>
      </w:r>
    </w:p>
    <w:p>
      <w:pPr>
        <w:jc w:val="both"/>
        <w:spacing w:before="100" w:after="0"/>
        <w:ind w:start="360"/>
        <w:ind w:firstLine="360"/>
      </w:pPr>
      <w:r>
        <w:rPr>
          <w:b/>
        </w:rPr>
        <w:t>2</w:t>
        <w:t xml:space="preserve">.  </w:t>
      </w:r>
      <w:r>
        <w:rPr>
          <w:b/>
        </w:rPr>
        <w:t xml:space="preserve">Liability.</w:t>
        <w:t xml:space="preserve"> </w:t>
      </w:r>
      <w:r>
        <w:t xml:space="preserve"> </w:t>
      </w:r>
      <w:r>
        <w:t xml:space="preserve">A podiatrist who delegates activities as described in </w:t>
      </w:r>
      <w:r>
        <w:t>subsection 1</w:t>
      </w:r>
      <w:r>
        <w:t xml:space="preserve"> to a podiatric assistant is legally liable for the medical activities of that podiatric assistant, and a podiatric assistant in this relationship is considered the podiatrist's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77, §1 (NEW). PL 2009, c. 112,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§3552-A. Podiatric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§3552-A. Podiatric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§3552-A. PODIATRIC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