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Minors</w:t>
      </w:r>
    </w:p>
    <w:p>
      <w:pPr>
        <w:jc w:val="both"/>
        <w:spacing w:before="100" w:after="100"/>
        <w:ind w:start="360"/>
        <w:ind w:firstLine="360"/>
      </w:pPr>
      <w:r>
        <w:rPr/>
      </w:r>
      <w:r>
        <w:rPr/>
      </w:r>
      <w:r>
        <w:t xml:space="preserve">No person shall place a tattoo mark or figure upon a person under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1975, c. 701,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§92 (AMD). PL 1971, c. 598, §82 (AMD). PL 1975, c. 701,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