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Legally licensed practitioners of other schools or professions not affected</w:t>
      </w:r>
    </w:p>
    <w:p>
      <w:pPr>
        <w:jc w:val="both"/>
        <w:spacing w:before="100" w:after="100"/>
        <w:ind w:start="360"/>
        <w:ind w:firstLine="360"/>
      </w:pPr>
      <w:r>
        <w:rPr/>
      </w:r>
      <w:r>
        <w:rPr/>
      </w:r>
      <w:r>
        <w:t xml:space="preserve">This chapter may not be construed to: restrain or restrict legally licensed physicians, surgeons, dentists, osteopaths, physical therapists or nurses in the practice of their professions; apply to masseurs in their particular sphere of labor who publicly represent themselves as masseurs; apply to a commissioned medical officer in the United States Army or Public Health Service in the performance of duties; or prohibit gratuitous service or the rendering of assistance to emergency cases.</w:t>
      </w:r>
      <w:r>
        <w:t xml:space="preserve">  </w:t>
      </w:r>
      <w:r xmlns:wp="http://schemas.openxmlformats.org/drawingml/2010/wordprocessingDrawing" xmlns:w15="http://schemas.microsoft.com/office/word/2012/wordml">
        <w:rPr>
          <w:rFonts w:ascii="Arial" w:hAnsi="Arial" w:cs="Arial"/>
          <w:sz w:val="22"/>
          <w:szCs w:val="22"/>
        </w:rPr>
        <w:t xml:space="preserve">[PL 1993, c. 600,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§1 (AMD). PL 1993, c. 600,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Legally licensed practitioners of other schools or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Legally licensed practitioners of other schools or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§453. LEGALLY LICENSED PRACTITIONERS OF OTHER SCHOOLS OR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