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4664-A</w:t>
        <w:t xml:space="preserve">.  </w:t>
      </w:r>
      <w:r>
        <w:rPr>
          <w:b/>
        </w:rPr>
        <w:t xml:space="preserve">Time of seller's performance</w:t>
      </w:r>
    </w:p>
    <w:p>
      <w:pPr>
        <w:jc w:val="both"/>
        <w:spacing w:before="100" w:after="0"/>
        <w:ind w:start="360"/>
        <w:ind w:firstLine="360"/>
      </w:pPr>
      <w:r>
        <w:rPr>
          <w:b/>
        </w:rPr>
        <w:t>1</w:t>
        <w:t xml:space="preserve">.  </w:t>
      </w:r>
      <w:r>
        <w:rPr>
          <w:b/>
        </w:rPr>
        <w:t xml:space="preserve">Performance after right to cancel.</w:t>
        <w:t xml:space="preserve"> </w:t>
      </w:r>
      <w:r>
        <w:t xml:space="preserve"> </w:t>
      </w:r>
      <w:r>
        <w:t xml:space="preserve">If the contract requires the seller to affix merchandise permanently to real estate or its appurtenances, then the seller may not begin performance as long as the consumer has the right to cancel.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§7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§7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187, §4 (NEW). PL 2003, c. 452, §R7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§4664-A. Time of seller's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§4664-A. Time of seller's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§4664-A. TIME OF SELLER'S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