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H, §7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§124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4</w:t>
        <w:t xml:space="preserve">.  </w:t>
      </w:r>
      <w:r>
        <w:rPr>
          <w:b/>
        </w:rPr>
        <w:t xml:space="preserve">Nonchiropractic practice.</w:t>
        <w:t xml:space="preserve"> </w:t>
      </w:r>
      <w:r>
        <w:t xml:space="preserve"> </w:t>
      </w:r>
      <w:r>
        <w:t xml:space="preserve">Offering health services outside the field of chiropractic;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5</w:t>
        <w:t xml:space="preserve">.  </w:t>
      </w:r>
      <w:r>
        <w:rPr>
          <w:b/>
        </w:rPr>
        <w:t xml:space="preserve">Fee-splitting.</w:t>
        <w:t xml:space="preserve"> </w:t>
      </w:r>
      <w:r>
        <w:t xml:space="preserve"> </w:t>
      </w:r>
      <w:r>
        <w:t xml:space="preserve">Splitting or dividing a fee with an individual who is not an associate licensed as a chiropractor.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 PL 2011, c. 286, Pt. E, §1 (AMD). PL 2017, c. 407, Pt. A,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