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License</w:t>
      </w:r>
    </w:p>
    <w:p>
      <w:pPr>
        <w:jc w:val="both"/>
        <w:spacing w:before="100" w:after="100"/>
        <w:ind w:start="360"/>
        <w:ind w:firstLine="360"/>
      </w:pPr>
      <w:r>
        <w:rPr/>
      </w:r>
      <w:r>
        <w:rPr/>
      </w:r>
      <w:r>
        <w:t xml:space="preserve">An individual may not render ancillary services under </w:t>
      </w:r>
      <w:r>
        <w:t>section 555</w:t>
      </w:r>
      <w:r>
        <w:t xml:space="preserve"> until that individual has received a chiropractic assistant license or a temporary license issued by the board, either of which is renewable.  The applicant must pay a license fee as set under </w:t>
      </w:r>
      <w:r>
        <w:t>section 558</w:t>
      </w:r>
      <w:r>
        <w:t xml:space="preserve">.  The board shall adopt rules regarding the training and licensure of individuals permitted to render ancillary services under </w:t>
      </w:r>
      <w:r>
        <w:t>section 555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2005, c. 262, §A6 (AMD). PL 2007, c. 402, Pt. 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§556.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