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Standardized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1999, c. 687, §§D1,2 (AMD). PL 2007, c. 402,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 Standardized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Standardized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 STANDARDIZED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