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w:t>
        <w:t xml:space="preserve">.  </w:t>
      </w:r>
      <w:r>
        <w:rPr>
          <w:b/>
        </w:rPr>
        <w:t xml:space="preserve">Bond required</w:t>
      </w:r>
    </w:p>
    <w:p>
      <w:pPr>
        <w:jc w:val="both"/>
        <w:spacing w:before="100" w:after="100"/>
        <w:ind w:start="360"/>
        <w:ind w:firstLine="360"/>
      </w:pPr>
      <w:r>
        <w:rPr/>
      </w:r>
      <w:r>
        <w:rPr/>
      </w:r>
      <w:r>
        <w:t xml:space="preserve">Each application must be accompanied by evidence of a surety bond in a form approved by the administrator in the aggregate amount of $50,000 to run to the administrator for use by the administrator and any person or persons who may have a cause of action against a debt management service provider.  The terms of the bond must run concurrently with the period of time during which the registration is in effect.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§6174.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