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State Board of Alcohol and Drug Counselors</w:t>
      </w:r>
    </w:p>
    <w:p>
      <w:pPr>
        <w:jc w:val="both"/>
        <w:spacing w:before="100" w:after="100"/>
        <w:ind w:start="360"/>
        <w:ind w:firstLine="360"/>
      </w:pPr>
      <w:r>
        <w:rPr/>
      </w:r>
      <w:r>
        <w:rPr/>
      </w:r>
      <w:r>
        <w:t xml:space="preserve">The State Board of Alcohol and Drug Counselors within the Department of Professional and Financial Regulation as established by </w:t>
      </w:r>
      <w:r>
        <w:t>Title 5, section 12004‑A, subsection 41</w:t>
      </w:r>
      <w:r>
        <w:t xml:space="preserve">, shall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394,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553, §46 (AMD). PL 1983, c. 812, §249 (AMD). PL 1987, c. 395, §A192 (AMD). PL 1989, c. 503, §B148 (AMD). PL 1995, c. 394,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State Board of Alcohol and Drug Counselors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State Board of Alcohol and Drug Counselors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§6201. STATE BOARD OF ALCOHOL AND DRUG COUNSELORS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