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4 (AMD). PL 1991, c. 456, §§2-8 (AMD). PL 1995, c. 394, §§4,5 (AMD). PL 2003, c. 347, §§1-4 (AMD). PL 2003, c. 347, §25 (AFF). PL 2003, c. 689, §B6 (REV). PL 2007, c. 402, Pt. U,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