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Licensing</w:t>
      </w:r>
    </w:p>
    <w:p>
      <w:pPr>
        <w:jc w:val="both"/>
        <w:spacing w:before="100" w:after="100"/>
        <w:ind w:start="360"/>
        <w:ind w:firstLine="360"/>
      </w:pPr>
      <w:r>
        <w:rPr/>
      </w:r>
      <w:r>
        <w:rPr/>
      </w:r>
      <w:r>
        <w:t xml:space="preserve">A person may not, unless specifically exempted by this chapter, practice as an alcohol and drug counselor or begin an internship or profess to the public to be, or assume or use the title or designation of, "certified alcohol and drug counselor," "licensed alcohol and drug counselor" or "alcohol and drug counseling aide" or the abbreviation "C.A.D.C.," "L.A.D.C." or "A.D.C.A." or any other title, designation, words, letters or device tending to indicate that such a person is licensed, certified or registered, unless that person is licensed, certified or registered with and holds a current and valid license, certificate or registration from the board.  Any person who violates this section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§A196 (RPR). PL 1991, c. 456, §10 (AMD). PL 1991, c. 456, §36 (AFF). PL 1995, c. 394, §6 (AMD). PL 2003, c. 347, §5 (AMD). PL 2003, c. 347, §25 (AFF). PL 2007, c. 402, Pt. U,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§6205.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