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6208-A</w:t>
        <w:t xml:space="preserve">.  </w:t>
      </w:r>
      <w:r>
        <w:rPr>
          <w:b/>
        </w:rPr>
        <w:t xml:space="preserve">Appointment; terms; vacancies</w:t>
      </w:r>
    </w:p>
    <w:p>
      <w:pPr>
        <w:jc w:val="both"/>
        <w:spacing w:before="100" w:after="0"/>
        <w:ind w:start="360"/>
        <w:ind w:firstLine="360"/>
      </w:pPr>
      <w:r>
        <w:rPr>
          <w:b/>
        </w:rPr>
        <w:t>1</w:t>
        <w:t xml:space="preserve">.  </w:t>
      </w:r>
      <w:r>
        <w:rPr>
          <w:b/>
        </w:rPr>
        <w:t xml:space="preserve">Membership.</w:t>
        <w:t xml:space="preserve"> </w:t>
      </w:r>
      <w:r>
        <w:t xml:space="preserve"> </w:t>
      </w:r>
      <w:r>
        <w:t xml:space="preserve">The State Board of Alcohol and Drug Counselors, as established by </w:t>
      </w:r>
      <w:r>
        <w:t>Title 5, section 12004‑A, subsection 41</w:t>
      </w:r>
      <w:r>
        <w:t xml:space="preserve">, consists of 5 members appointed by the Governor.   Of these 5 members, 4 members must be licensed alcohol and drug counselors and one member must be a public member as defined in </w:t>
      </w:r>
      <w:r>
        <w:t>Title 5, section 12004‑A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H, §1 (AMD).]</w:t>
      </w:r>
    </w:p>
    <w:p>
      <w:pPr>
        <w:jc w:val="both"/>
        <w:spacing w:before="100" w:after="0"/>
        <w:ind w:start="360"/>
        <w:ind w:firstLine="360"/>
      </w:pPr>
      <w:r>
        <w:rPr>
          <w:b/>
        </w:rPr>
        <w:t>2</w:t>
        <w:t xml:space="preserve">.  </w:t>
      </w:r>
      <w:r>
        <w:rPr>
          <w:b/>
        </w:rPr>
        <w:t xml:space="preserve">Term of office.</w:t>
        <w:t xml:space="preserve"> </w:t>
      </w:r>
      <w:r>
        <w:t xml:space="preserve"> </w:t>
      </w:r>
      <w:r>
        <w:t xml:space="preserve">Appointments are for 3-year terms.  Appointments of members must comply with </w:t>
      </w:r>
      <w:r>
        <w:t>Title 10, section 8009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§5 (AMD).]</w:t>
      </w:r>
    </w:p>
    <w:p>
      <w:pPr>
        <w:jc w:val="both"/>
        <w:spacing w:before="100" w:after="0"/>
        <w:ind w:start="360"/>
        <w:ind w:firstLine="360"/>
      </w:pPr>
      <w:r>
        <w:rPr>
          <w:b/>
        </w:rPr>
        <w:t>3</w:t>
        <w:t xml:space="preserve">.  </w:t>
      </w:r>
      <w:r>
        <w:rPr>
          <w:b/>
        </w:rPr>
        <w:t xml:space="preserve">Vacancy.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§257 (RP).]</w:t>
      </w:r>
    </w:p>
    <w:p>
      <w:pPr>
        <w:jc w:val="both"/>
        <w:spacing w:before="100" w:after="0"/>
        <w:ind w:start="360"/>
        <w:ind w:firstLine="360"/>
      </w:pPr>
      <w:r>
        <w:rPr>
          <w:b/>
        </w:rPr>
        <w:t>4</w:t>
        <w:t xml:space="preserve">.  </w:t>
      </w:r>
      <w:r>
        <w:rPr>
          <w:b/>
        </w:rPr>
        <w:t xml:space="preserve">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§257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§211 (NEW). PL 1983, c. 812, §250 (AMD). PL 1987, c. 395, §A200 (AMD). PL 1989, c. 503, §B149 (AMD). PL 1989, c. 831, §1 (AMD). PL 1991, c. 456, §13 (AMD). PL 1993, c. 600, §§A256,257 (AMD). PL 1995, c. 394, §9 (AMD). PL 1997, c. 727, §C10 (AMD). PL 1999, c. 386, §R1 (AMD). PL 2007, c. 402, Pt. U, §5 (AMD). PL 2011, c. 286, Pt. H,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§6208-A. Appointment; terms;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§6208-A. Appointment; terms;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§6208-A. APPOINTMENT; TERMS;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