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6213-B</w:t>
        <w:t xml:space="preserve">.  </w:t>
      </w:r>
      <w:r>
        <w:rPr>
          <w:b/>
        </w:rPr>
        <w:t xml:space="preserve">Alcohol and drug counseling aide; qualification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The board shall issue a license to practice as an alcohol and drug counseling aide to an applicant who meets the following minimal requirements.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B</w:t>
        <w:t xml:space="preserve">.  </w:t>
      </w:r>
      <w:r>
        <w:rPr/>
      </w:r>
      <w:r>
        <w:t xml:space="preserve">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C</w:t>
        <w:t xml:space="preserve">.  </w:t>
      </w:r>
      <w:r>
        <w:rPr/>
      </w:r>
      <w:r>
        <w:t xml:space="preserve">Be employed at an agency;</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D</w:t>
        <w:t xml:space="preserve">.  </w:t>
      </w:r>
      <w:r>
        <w:rPr/>
      </w:r>
      <w:r>
        <w:t xml:space="preserve">Provide the name of the person who will be the applicant's certified clinical supervisor; and</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E</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§13 (NEW). PL 2003, c. 347, §25 (AFF). PL 2007, c. 402, Pt. U,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§6213-B. ALCOHOL AND DRUG COUNSELING AIDE;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