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Application; 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§9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204, §12 (AMD). PL 1983, c. 413, §217 (RPR). PL 1987, c. 395, §A207 (RPR). PL 1989, c. 831, §8 (AMD). PL 1991, c. 456, §26 (AMD). PL 1995, c. 394, §20 (AMD). PL 1995, c. 502, §H38 (AMD). PL 1999, c. 386, §R2 (AMD). PL 1999, c. 685, §18 (AMD). PL 2003, c. 347, §17 (AMD). PL 2003, c. 347, §25 (AFF). PL 2007, c. 402, Pt. U, §9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§6215.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§6215.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