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6219-A</w:t>
        <w:t xml:space="preserve">.  </w:t>
      </w:r>
      <w:r>
        <w:rPr>
          <w:b/>
        </w:rPr>
        <w:t xml:space="preserve">Continuing education</w:t>
      </w:r>
    </w:p>
    <w:p>
      <w:pPr>
        <w:jc w:val="both"/>
        <w:spacing w:before="100" w:after="0"/>
        <w:ind w:start="360"/>
        <w:ind w:firstLine="360"/>
      </w:pPr>
      <w:r>
        <w:rPr>
          <w:b/>
        </w:rPr>
        <w:t>1</w:t>
        <w:t xml:space="preserve">.  </w:t>
      </w:r>
      <w:r>
        <w:rPr>
          <w:b/>
        </w:rPr>
        <w:t xml:space="preserve">Requirements.</w:t>
        <w:t xml:space="preserve"> </w:t>
      </w:r>
      <w:r>
        <w:t xml:space="preserve"> </w:t>
      </w:r>
      <w:r>
        <w:t xml:space="preserve">The board may adopt continuing education requirements and approve programs and courses by rule.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347, §22 (NEW); PL 2003, c. 347, §25 (AFF).]</w:t>
      </w:r>
    </w:p>
    <w:p>
      <w:pPr>
        <w:jc w:val="both"/>
        <w:spacing w:before="100" w:after="0"/>
        <w:ind w:start="360"/>
        <w:ind w:firstLine="360"/>
      </w:pPr>
      <w:r>
        <w:rPr>
          <w:b/>
        </w:rPr>
        <w:t>2</w:t>
        <w:t xml:space="preserve">.  </w:t>
      </w:r>
      <w:r>
        <w:rPr>
          <w:b/>
        </w:rPr>
        <w:t xml:space="preserve">Program approval.</w:t>
        <w:t xml:space="preserve"> </w:t>
      </w:r>
      <w:r>
        <w:t xml:space="preserve"> </w:t>
      </w:r>
      <w:r>
        <w:t xml:space="preserve">Each application for approval of a continuing education program or course must be submitted according to the guidelines prescribed by rule, together with the required fee under </w:t>
      </w:r>
      <w:r>
        <w:t>section 6215</w:t>
      </w:r>
      <w:r>
        <w:t xml:space="preserve">.  The fee is retained whether or not the application is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347, §22 (NEW); PL 2003, c. 347, §25 (AFF).]</w:t>
      </w:r>
    </w:p>
    <w:p>
      <w:pPr>
        <w:jc w:val="both"/>
        <w:spacing w:before="100" w:after="0"/>
        <w:ind w:start="360"/>
        <w:ind w:firstLine="360"/>
      </w:pPr>
      <w:r>
        <w:rPr>
          <w:b/>
        </w:rPr>
        <w:t>3</w:t>
        <w:t xml:space="preserve">.  </w:t>
      </w:r>
      <w:r>
        <w:rPr>
          <w:b/>
        </w:rPr>
        <w:t xml:space="preserve">Core requirement.</w:t>
        <w:t xml:space="preserve"> </w:t>
      </w:r>
      <w:r>
        <w:t xml:space="preserve"> </w:t>
      </w:r>
      <w:r>
        <w:t xml:space="preserve">The board may establish a core educational requirement for each license type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347, §22 (NEW); PL 2003, c. 347,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347, §22 (NEW). PL 2003, c. 347, §25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§6219-A. Continuing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§6219-A. Continuing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§6219-A. CONTINUING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