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General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§7355. GENERAL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