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8106</w:t>
        <w:t xml:space="preserve">.  </w:t>
      </w:r>
      <w:r>
        <w:rPr>
          <w:b/>
        </w:rPr>
        <w:t xml:space="preserve">Acquisition of license by persons currently licensed</w:t>
      </w:r>
    </w:p>
    <w:p>
      <w:pPr>
        <w:jc w:val="both"/>
        <w:spacing w:before="100" w:after="100"/>
        <w:ind w:start="360"/>
        <w:ind w:firstLine="360"/>
      </w:pPr>
      <w:r>
        <w:rPr/>
      </w:r>
      <w:r>
        <w:rPr/>
      </w:r>
      <w:r>
        <w:t xml:space="preserve">A person possessing, under Maine law, a valid private investigator's license on the effective date of this chapter whose license then expires, by application, compliance with </w:t>
      </w:r>
      <w:r>
        <w:t>section 8105, subsection 8</w:t>
      </w:r>
      <w:r>
        <w:t xml:space="preserve"> and payment of the required fee, is entitled to a professional investigator's license.</w:t>
      </w:r>
      <w:r>
        <w:t xml:space="preserve">  </w:t>
      </w:r>
      <w:r xmlns:wp="http://schemas.openxmlformats.org/drawingml/2010/wordprocessingDrawing" xmlns:w15="http://schemas.microsoft.com/office/word/2012/wordml">
        <w:rPr>
          <w:rFonts w:ascii="Arial" w:hAnsi="Arial" w:cs="Arial"/>
          <w:sz w:val="22"/>
          <w:szCs w:val="22"/>
        </w:rPr>
        <w:t xml:space="preserve">[PL 2011, c. 366,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§8106. Acquisition of license by persons currently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§8106. Acquisition of license by persons currently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§8106. ACQUISITION OF LICENSE BY PERSONS CURRENTLY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