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Renewal of license</w:t>
      </w:r>
    </w:p>
    <w:p>
      <w:pPr>
        <w:jc w:val="both"/>
        <w:spacing w:before="100" w:after="100"/>
        <w:ind w:start="360"/>
        <w:ind w:firstLine="360"/>
      </w:pPr>
      <w:r>
        <w:rPr/>
      </w:r>
      <w:r>
        <w:rPr/>
      </w:r>
      <w:r>
        <w:t xml:space="preserve">Each professional investigator's license is valid for an initial term of 2 years.  Unless the license is revoked, the licensee may apply to renew the license every 4 years after the initial term.</w:t>
      </w:r>
      <w:r>
        <w:t xml:space="preserve">  </w:t>
      </w:r>
      <w:r xmlns:wp="http://schemas.openxmlformats.org/drawingml/2010/wordprocessingDrawing" xmlns:w15="http://schemas.microsoft.com/office/word/2012/wordml">
        <w:rPr>
          <w:rFonts w:ascii="Arial" w:hAnsi="Arial" w:cs="Arial"/>
          <w:sz w:val="22"/>
          <w:szCs w:val="22"/>
        </w:rPr>
        <w:t xml:space="preserve">[PL 2011, c. 366,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1991, c. 780, §H1 (AMD). PL 2003, c. 620, §1 (AMD). PL 2011, c. 366,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§8109.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§8109.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