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9707</w:t>
        <w:t xml:space="preserve">.  </w:t>
      </w:r>
      <w:r>
        <w:rPr>
          <w:b/>
        </w:rPr>
        <w:t xml:space="preserve">Temporary license</w:t>
      </w:r>
    </w:p>
    <w:p>
      <w:pPr>
        <w:jc w:val="both"/>
        <w:spacing w:before="100" w:after="100"/>
        <w:ind w:start="360"/>
        <w:ind w:firstLine="360"/>
      </w:pPr>
      <w:r>
        <w:rPr/>
      </w:r>
      <w:r>
        <w:rPr/>
      </w:r>
      <w:r>
        <w:t xml:space="preserve">No more than one temporary license may be granted to a person who has completed the education requirements of this chapter.  This license allows the holder to practice respiratory care under the supervision of a licensed respiratory care practitioner.  This license must be issued for a term of 90 days and may be extended for an additional 90 days at the discretion of the board.</w:t>
      </w:r>
      <w:r>
        <w:t xml:space="preserve">  </w:t>
      </w:r>
      <w:r xmlns:wp="http://schemas.openxmlformats.org/drawingml/2010/wordprocessingDrawing" xmlns:w15="http://schemas.microsoft.com/office/word/2012/wordml">
        <w:rPr>
          <w:rFonts w:ascii="Arial" w:hAnsi="Arial" w:cs="Arial"/>
          <w:sz w:val="22"/>
          <w:szCs w:val="22"/>
        </w:rPr>
        <w:t xml:space="preserve">[PL 2011, c. 286,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§42 (AMD). PL 2011, c. 286, Pt. 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§9707.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§9707.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§9707.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