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§7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may obtain a license under the terms and conditions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may qualify for licensure by submitting evidence to the board that the applicant has actively practiced with a substantially equivalent license or by submitting evidence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C</w:t>
        <w:t xml:space="preserve">.  </w:t>
      </w:r>
      <w:r>
        <w:rPr/>
      </w:r>
      <w:r>
        <w:t xml:space="preserve">All nonresident applicants must submit with the application an irrevocable consent to service of process on the applicant for an action filed in a court of this State arising out of the applicant's activities as a licensee in this State.  Service may be made by delivery of the process to the Director of Licensing and Registration within the Department of Professional and Financial Regulation if, in the exercise of due diligence, a plaintiff cannot effect personal service upon the applicant.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§7 (RPR). PL 2021, c. 642,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§9857.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