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9913</w:t>
        <w:t xml:space="preserve">.  </w:t>
      </w:r>
      <w:r>
        <w:rPr>
          <w:b/>
        </w:rPr>
        <w:t xml:space="preserve">Equivalent requirements</w:t>
      </w:r>
    </w:p>
    <w:p>
      <w:pPr>
        <w:jc w:val="both"/>
        <w:spacing w:before="100" w:after="100"/>
        <w:ind w:start="360"/>
        <w:ind w:firstLine="360"/>
      </w:pPr>
      <w:r>
        <w:rPr/>
      </w:r>
      <w:r>
        <w:rPr/>
      </w:r>
      <w:r>
        <w:t xml:space="preserve">The board shall adopt rules, as it determines necessary and appropriate, to indicate what requirements will be considered the equivalent of the specific education, experience and examination required by </w:t>
      </w:r>
      <w:r>
        <w:t>section 9907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§9913. Equivalent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§9913. Equivalent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§9913. EQUIVALENT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