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UNCLAIMED PROPERTY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OF ABANDONMENT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37.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