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1024</w:t>
        <w:t xml:space="preserve">.  </w:t>
      </w:r>
      <w:r>
        <w:rPr>
          <w:b/>
        </w:rPr>
        <w:t xml:space="preserve">Other common law and statutory causes of action and relief still available</w:t>
      </w:r>
    </w:p>
    <w:p>
      <w:pPr>
        <w:jc w:val="both"/>
        <w:spacing w:before="100" w:after="100"/>
        <w:ind w:start="360"/>
        <w:ind w:firstLine="360"/>
      </w:pPr>
      <w:r>
        <w:rPr/>
      </w:r>
      <w:r>
        <w:rPr/>
      </w:r>
      <w:r>
        <w:t xml:space="preserve">Nothing in this chapter may be construed to abrogate any other causes of action or relief at law or equity to which elderly dependent persons are entitled under other laws or at common law.</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§1024. Other common law and statutory causes of action and relief still available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§1024. Other common law and statutory causes of action and relief still available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§1024. OTHER COMMON LAW AND STATUTORY CAUSES OF ACTION AND RELIEF STILL AVAILABLE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