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Restitution to appearing owner;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Restitution to appearing owner;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§1054. RESTITUTION TO APPEARING OWNER;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