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 Contingent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Contingent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§116. CONTINGENT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