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Limitation</w:t>
      </w:r>
    </w:p>
    <w:p>
      <w:pPr>
        <w:jc w:val="both"/>
        <w:spacing w:before="100" w:after="100"/>
        <w:ind w:start="360"/>
        <w:ind w:firstLine="360"/>
      </w:pPr>
      <w:r>
        <w:rPr/>
      </w:r>
      <w:r>
        <w:rPr/>
      </w:r>
      <w:r>
        <w:t xml:space="preserve">Nothing in this chapter shall preclude the rights of the State to title to property under Title 18, section 1001, subsection 8 or in any action brought to quiet title with respect to island property.</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§1216.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