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Recordation</w:t>
      </w:r>
    </w:p>
    <w:p>
      <w:pPr>
        <w:jc w:val="both"/>
        <w:spacing w:before="100" w:after="100"/>
        <w:ind w:start="360"/>
        <w:ind w:firstLine="360"/>
      </w:pPr>
      <w:r>
        <w:rPr/>
      </w:r>
      <w:r>
        <w:rPr/>
      </w:r>
      <w:r>
        <w:t xml:space="preserve">So that the title to the historic property affected reflects any preservation interest, all preservation agreements shall be recorded and indexed in the registry of deeds for the county where the property is located in the manner of conveyances of interests in property. The preservation agreement shall describe the property subject to the preservation interest by adequate legal description or by reference to a recorded plan showing the subject property's boundaries.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Recordation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Recordation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§1554. RECORDATION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