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1601-104</w:t>
        <w:t xml:space="preserve">.  </w:t>
      </w:r>
      <w:r>
        <w:rPr>
          <w:b/>
        </w:rPr>
        <w:t xml:space="preserve">Variation by agreement</w:t>
      </w:r>
    </w:p>
    <w:p>
      <w:pPr>
        <w:jc w:val="both"/>
        <w:spacing w:before="100" w:after="100"/>
        <w:ind w:start="360"/>
        <w:ind w:firstLine="360"/>
      </w:pPr>
      <w:r>
        <w:rPr/>
      </w:r>
      <w:r>
        <w:rPr/>
      </w:r>
      <w:r>
        <w:t xml:space="preserve">Except as expressly provided in this Act, provisions of this Act may not be varied by agreement, and rights conferred by this Act may not be waived. A declarant may not act under a power of attorney, or use any other device, to evade the limitations or prohibitions of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§1601-104.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§1601-104.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§1601-104.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