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§1604-104. Public offering statement; condominiums subject to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§1604-104. PUBLIC OFFERING STATEMENT; CONDOMINIUMS SUBJECT TO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