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§1604-108. Resales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§1604-108. Resales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§1604-108. RESALES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