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1604-116</w:t>
        <w:t xml:space="preserve">.  </w:t>
      </w:r>
      <w:r>
        <w:rPr>
          <w:b/>
        </w:rPr>
        <w:t xml:space="preserve">Effect of violations on rights of action</w:t>
      </w:r>
    </w:p>
    <w:p>
      <w:pPr>
        <w:jc w:val="both"/>
        <w:spacing w:before="100" w:after="100"/>
        <w:ind w:start="360"/>
        <w:ind w:firstLine="360"/>
      </w:pPr>
      <w:r>
        <w:rPr/>
      </w:r>
      <w:r>
        <w:rPr/>
      </w:r>
      <w:r>
        <w:t xml:space="preserve">If a declarant or any other person subject to this Act fails to comply with any provision hereof or any provision of the declaration or bylaws, any person or class of persons adversely affected by that failure has a claim for appropriate relief.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§1604-116. Effect of violations on rights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§1604-116. Effect of violations on rights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§1604-116. EFFECT OF VIOLATIONS ON RIGHTS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