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 Transfer by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Transfer by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§1658. TRANSFER BY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