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w:t>
        <w:t xml:space="preserve">.  </w:t>
      </w:r>
      <w:r>
        <w:rPr>
          <w:b/>
        </w:rPr>
        <w:t xml:space="preserve">Custodian's expenses, compensation and bond</w:t>
      </w:r>
    </w:p>
    <w:p>
      <w:pPr>
        <w:jc w:val="both"/>
        <w:spacing w:before="100" w:after="0"/>
        <w:ind w:start="360"/>
        <w:ind w:firstLine="360"/>
      </w:pPr>
      <w:r>
        <w:rPr>
          <w:b/>
        </w:rPr>
        <w:t>1</w:t>
        <w:t xml:space="preserve">.  </w:t>
      </w:r>
      <w:r>
        <w:rPr>
          <w:b/>
        </w:rPr>
        <w:t xml:space="preserve">Reimbursement.</w:t>
        <w:t xml:space="preserve"> </w:t>
      </w:r>
      <w:r>
        <w:t xml:space="preserve"> </w:t>
      </w:r>
      <w:r>
        <w:t xml:space="preserve">A custodian is entitled to reimbursement from custodial property for reasonable expenses incurred in the performance of the custodian's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Compensation.</w:t>
        <w:t xml:space="preserve"> </w:t>
      </w:r>
      <w:r>
        <w:t xml:space="preserve"> </w:t>
      </w:r>
      <w:r>
        <w:t xml:space="preserve">Except for one who is a transferor under </w:t>
      </w:r>
      <w:r>
        <w:t>section 1655</w:t>
      </w:r>
      <w:r>
        <w:t xml:space="preserve">, a custodian has a noncumulative election during each calendar year to charge reasonable compensation for services performed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Bond.</w:t>
        <w:t xml:space="preserve"> </w:t>
      </w:r>
      <w:r>
        <w:t xml:space="preserve"> </w:t>
      </w:r>
      <w:r>
        <w:t xml:space="preserve">Except as provided in </w:t>
      </w:r>
      <w:r>
        <w:t>section 1669, subsection 6</w:t>
      </w:r>
      <w:r>
        <w:t xml:space="preserve">, a custodian need not give a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§1666. Custodian's expenses, compensation and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 Custodian's expenses, compensation and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§1666. CUSTODIAN'S EXPENSES, COMPENSATION AND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