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§1670. Accounting by and determination of liability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Accounting by and determination of liability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§1670. ACCOUNTING BY AND DETERMINATION OF LIABILITY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