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Applicability</w:t>
      </w:r>
    </w:p>
    <w:p>
      <w:pPr>
        <w:jc w:val="both"/>
        <w:spacing w:before="100" w:after="100"/>
        <w:ind w:start="360"/>
        <w:ind w:firstLine="360"/>
      </w:pPr>
      <w:r>
        <w:rPr/>
      </w:r>
      <w:r>
        <w:rPr/>
      </w:r>
      <w:r>
        <w:t xml:space="preserve">This Act applies to a transfer within the scope of </w:t>
      </w:r>
      <w:r>
        <w:t>section 1653</w:t>
      </w:r>
      <w:r>
        <w:t xml:space="preserve"> made after its effective date if: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Reference to prior Act.</w:t>
        <w:t xml:space="preserve"> </w:t>
      </w:r>
      <w:r>
        <w:t xml:space="preserve"> </w:t>
      </w:r>
      <w:r>
        <w:t xml:space="preserve">The transfer purports to have been made under the Uniform Gifts to Minors Act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§119 (AMD).]</w:t>
      </w:r>
    </w:p>
    <w:p>
      <w:pPr>
        <w:jc w:val="both"/>
        <w:spacing w:before="100" w:after="0"/>
        <w:ind w:start="360"/>
        <w:ind w:firstLine="360"/>
      </w:pPr>
      <w:r>
        <w:rPr>
          <w:b/>
        </w:rPr>
        <w:t>2</w:t>
        <w:t xml:space="preserve">.  </w:t>
      </w:r>
      <w:r>
        <w:rPr>
          <w:b/>
        </w:rPr>
        <w:t xml:space="preserve">Reference to Uniform Gifts to Minors Act of any other state.</w:t>
        <w:t xml:space="preserve"> </w:t>
      </w:r>
      <w:r>
        <w:t xml:space="preserve"> </w:t>
      </w:r>
      <w:r>
        <w:t xml:space="preserve">The instrument by which the transfer purports to have been made uses in substance the designation "as custodian under the Uniform Gifts to Minors Act" or "as custodian under the Uniform Transfers to Minors Act" of any other state and the application of this Act is necessary to validate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