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residential real property, whether by sale, exchange,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§24 (AMD); PL 2005, c. 378, §29 (AFF).]</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Power of sale.</w:t>
        <w:t xml:space="preserve"> </w:t>
      </w:r>
      <w:r>
        <w:t xml:space="preserve"> </w:t>
      </w:r>
      <w:r>
        <w:t xml:space="preserve">Transfers by a sale under a power of sale or any foreclosure sale under a decree of foreclosure after default in an obligation secured by a mortgage or deed of trust or secured by any other instrument containing a power of sale, or transfers by a mortgagee or a beneficiary under a deed of trust who has acquired the residential real property at a sale conducted pursuant to a power of sale under a mortgage or deed of trust or a sale pursuant to a decree of foreclosure or who has acquired the residential real property by a deed in lieu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Fiduciary.</w:t>
        <w:t xml:space="preserve"> </w:t>
      </w:r>
      <w:r>
        <w:t xml:space="preserve"> </w:t>
      </w:r>
      <w:r>
        <w:t xml:space="preserve">Transfers by a fiduciary in the course of administration of a decedent's estate, guardianship, conservatorship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7</w:t>
        <w:t xml:space="preserve">.  </w:t>
      </w:r>
      <w:r>
        <w:rPr>
          <w:b/>
        </w:rPr>
        <w:t xml:space="preserve">Consanguinity.</w:t>
        <w:t xml:space="preserve"> </w:t>
      </w:r>
      <w:r>
        <w:t xml:space="preserve"> </w:t>
      </w:r>
      <w:r>
        <w:t xml:space="preserve">Transfers made to a spouse or to a person or persons in the lineal line of consanguinity of one or more of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8</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9</w:t>
        <w:t xml:space="preserve">.  </w:t>
      </w:r>
      <w:r>
        <w:rPr>
          <w:b/>
        </w:rPr>
        <w:t xml:space="preserve">Government.</w:t>
        <w:t xml:space="preserve"> </w:t>
      </w:r>
      <w:r>
        <w:t xml:space="preserve"> </w:t>
      </w:r>
      <w:r>
        <w:t xml:space="preserve">Transfers or exchanges to or from any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10</w:t>
        <w:t xml:space="preserve">.  </w:t>
      </w:r>
      <w:r>
        <w:rPr>
          <w:b/>
        </w:rPr>
        <w:t xml:space="preserve">Relocation.</w:t>
        <w:t xml:space="preserve"> </w:t>
      </w:r>
      <w:r>
        <w:t xml:space="preserve"> </w:t>
      </w:r>
      <w:r>
        <w:t xml:space="preserve">Transfers from an entity that has taken title to a residential real property to assist the prior owner in relocating, as long as the entity makes available to the purchaser a copy of the property disclosure statement furnished to the entity by the prior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11</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12</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378, §24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Applicability;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Applicability;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§172. APPLICABILITY;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