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Nonresidential real property.</w:t>
        <w:t xml:space="preserve"> </w:t>
      </w:r>
      <w:r>
        <w:t xml:space="preserve"> </w:t>
      </w:r>
      <w:r>
        <w:t xml:space="preserve">"Nonresidential real property" means real estate that is not residential real property as defined in </w:t>
      </w:r>
      <w:r>
        <w:t>section 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has the same meaning as in </w:t>
      </w:r>
      <w:r>
        <w:t>Title 23, section 3021,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Town way.</w:t>
        <w:t xml:space="preserve"> </w:t>
      </w:r>
      <w:r>
        <w:t xml:space="preserve"> </w:t>
      </w:r>
      <w:r>
        <w:t xml:space="preserve">"Town way" has the same meaning as in </w:t>
      </w:r>
      <w:r>
        <w:t>Title 23, section 3021,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