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§2064. WHEN CUSTODIAL ACCOUNT FOR MINOR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