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2065</w:t>
        <w:t xml:space="preserve">.  </w:t>
      </w:r>
      <w:r>
        <w:rPr>
          <w:b/>
        </w:rPr>
        <w:t xml:space="preserve">When contents of safe deposit box presumed abandoned</w:t>
      </w:r>
    </w:p>
    <w:p>
      <w:pPr>
        <w:jc w:val="both"/>
        <w:spacing w:before="100" w:after="100"/>
        <w:ind w:start="360"/>
        <w:ind w:firstLine="360"/>
      </w:pPr>
      <w:r>
        <w:rPr/>
      </w:r>
      <w:r>
        <w:rPr/>
      </w:r>
      <w:r>
        <w:t xml:space="preserve">Tangible property held in a safe deposit box or other safekeeping depository in this State in the ordinary course of the holder's business and proceeds resulting from the sale of the property permitted by other law are presumed abandoned if the property and proceeds remain unclaimed by the owner for more than 3 years after expiration of the lease or rental period on the box or other depository.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§2065. When contents of safe deposit box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§2065. When contents of safe deposit box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§2065. WHEN CONTENTS OF SAFE DEPOSIT BOX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