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§2131. Public sale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Public sale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§2131. PUBLIC SALE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