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§2166. FAILURE OF PERSON EXAMINED TO RETAIN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